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87AD5" w14:textId="77777777" w:rsidR="000A1191" w:rsidRPr="005A7FD7" w:rsidRDefault="000A1191" w:rsidP="000A1191">
      <w:pPr>
        <w:pStyle w:val="BodyTextIndent"/>
        <w:ind w:firstLine="0"/>
        <w:jc w:val="center"/>
        <w:rPr>
          <w:color w:val="7F7F7F" w:themeColor="text1" w:themeTint="80"/>
          <w:szCs w:val="24"/>
        </w:rPr>
      </w:pPr>
      <w:r w:rsidRPr="005A7FD7">
        <w:rPr>
          <w:b/>
          <w:color w:val="7F7F7F" w:themeColor="text1" w:themeTint="80"/>
          <w:szCs w:val="24"/>
        </w:rPr>
        <w:t>Facilities &amp; Other Resources</w:t>
      </w:r>
    </w:p>
    <w:p w14:paraId="569D3018" w14:textId="77777777" w:rsidR="000A1191" w:rsidRPr="005A7FD7" w:rsidRDefault="000A1191" w:rsidP="000A1191">
      <w:pPr>
        <w:pStyle w:val="BodyTextIndent"/>
        <w:ind w:firstLine="0"/>
        <w:rPr>
          <w:szCs w:val="24"/>
        </w:rPr>
      </w:pPr>
    </w:p>
    <w:p w14:paraId="674AE627" w14:textId="77777777" w:rsidR="000A1191" w:rsidRPr="00C40523" w:rsidRDefault="000A1191" w:rsidP="000A1191">
      <w:pPr>
        <w:pStyle w:val="BodyTextIndent"/>
        <w:ind w:firstLine="0"/>
        <w:rPr>
          <w:szCs w:val="24"/>
        </w:rPr>
      </w:pPr>
      <w:r w:rsidRPr="00C40523">
        <w:rPr>
          <w:szCs w:val="24"/>
        </w:rPr>
        <w:t xml:space="preserve">The institutions comprising this program possess all necessary Facilities </w:t>
      </w:r>
      <w:r>
        <w:rPr>
          <w:szCs w:val="24"/>
        </w:rPr>
        <w:t>&amp;</w:t>
      </w:r>
      <w:r w:rsidRPr="00C40523">
        <w:rPr>
          <w:szCs w:val="24"/>
        </w:rPr>
        <w:t xml:space="preserve"> </w:t>
      </w:r>
      <w:r>
        <w:rPr>
          <w:szCs w:val="24"/>
        </w:rPr>
        <w:t>O</w:t>
      </w:r>
      <w:r w:rsidRPr="00C40523">
        <w:rPr>
          <w:szCs w:val="24"/>
        </w:rPr>
        <w:t xml:space="preserve">ther </w:t>
      </w:r>
      <w:r>
        <w:rPr>
          <w:szCs w:val="24"/>
        </w:rPr>
        <w:t>R</w:t>
      </w:r>
      <w:r w:rsidRPr="00C40523">
        <w:rPr>
          <w:szCs w:val="24"/>
        </w:rPr>
        <w:t xml:space="preserve">esources </w:t>
      </w:r>
      <w:r>
        <w:rPr>
          <w:szCs w:val="24"/>
        </w:rPr>
        <w:t>including classroom,</w:t>
      </w:r>
      <w:r w:rsidRPr="00C40523">
        <w:rPr>
          <w:szCs w:val="24"/>
        </w:rPr>
        <w:t xml:space="preserve"> laboratory</w:t>
      </w:r>
      <w:r>
        <w:rPr>
          <w:szCs w:val="24"/>
        </w:rPr>
        <w:t>,</w:t>
      </w:r>
      <w:r w:rsidRPr="00C40523">
        <w:rPr>
          <w:szCs w:val="24"/>
        </w:rPr>
        <w:t xml:space="preserve"> and field resources needed for the successful c</w:t>
      </w:r>
      <w:r>
        <w:rPr>
          <w:szCs w:val="24"/>
        </w:rPr>
        <w:t>ompletion</w:t>
      </w:r>
      <w:r w:rsidRPr="00C40523">
        <w:rPr>
          <w:szCs w:val="24"/>
        </w:rPr>
        <w:t xml:space="preserve"> of the proposed project</w:t>
      </w:r>
      <w:r>
        <w:rPr>
          <w:szCs w:val="24"/>
        </w:rPr>
        <w:t>.</w:t>
      </w:r>
      <w:r w:rsidRPr="00C40523">
        <w:rPr>
          <w:szCs w:val="24"/>
        </w:rPr>
        <w:t xml:space="preserve"> </w:t>
      </w:r>
      <w:r>
        <w:rPr>
          <w:szCs w:val="24"/>
        </w:rPr>
        <w:t>O</w:t>
      </w:r>
      <w:r w:rsidRPr="00C40523">
        <w:rPr>
          <w:szCs w:val="24"/>
        </w:rPr>
        <w:t>ur transdisciplinary team has a full range of capabilities needed to complete the research</w:t>
      </w:r>
      <w:r>
        <w:rPr>
          <w:szCs w:val="24"/>
        </w:rPr>
        <w:t>,</w:t>
      </w:r>
      <w:r w:rsidRPr="00C40523">
        <w:rPr>
          <w:szCs w:val="24"/>
        </w:rPr>
        <w:t xml:space="preserve"> teaching</w:t>
      </w:r>
      <w:r>
        <w:rPr>
          <w:szCs w:val="24"/>
        </w:rPr>
        <w:t>,</w:t>
      </w:r>
      <w:r w:rsidRPr="00C40523">
        <w:rPr>
          <w:szCs w:val="24"/>
        </w:rPr>
        <w:t xml:space="preserve"> </w:t>
      </w:r>
      <w:r>
        <w:rPr>
          <w:szCs w:val="24"/>
        </w:rPr>
        <w:t>and extension activities</w:t>
      </w:r>
      <w:r w:rsidRPr="00C40523">
        <w:rPr>
          <w:szCs w:val="24"/>
        </w:rPr>
        <w:t xml:space="preserve"> outlined in this proposal.  </w:t>
      </w:r>
    </w:p>
    <w:p w14:paraId="3F6C536A" w14:textId="77777777" w:rsidR="000A1191" w:rsidRDefault="000A1191" w:rsidP="000A1191">
      <w:pPr>
        <w:tabs>
          <w:tab w:val="left" w:pos="360"/>
        </w:tabs>
        <w:autoSpaceDE w:val="0"/>
        <w:autoSpaceDN w:val="0"/>
        <w:adjustRightInd w:val="0"/>
      </w:pPr>
    </w:p>
    <w:p w14:paraId="3548F5EC" w14:textId="0539564E" w:rsidR="000A1191" w:rsidRDefault="00000000" w:rsidP="000A1191">
      <w:r>
        <w:rPr>
          <w:noProof/>
        </w:rPr>
        <w:pict w14:anchorId="32AC3BBC">
          <v:shapetype id="_x0000_t202" coordsize="21600,21600" o:spt="202" path="m,l,21600r21600,l21600,xe">
            <v:stroke joinstyle="miter"/>
            <v:path gradientshapeok="t" o:connecttype="rect"/>
          </v:shapetype>
          <v:shape id="Text Box 2" o:spid="_x0000_s1026" type="#_x0000_t202" style="position:absolute;left:0;text-align:left;margin-left:212.6pt;margin-top:19.2pt;width:252pt;height:1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64 0 -64 21516 21600 21516 21600 0 -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" stroked="f">
            <v:textbox>
              <w:txbxContent>
                <w:p w14:paraId="446B3A0E" w14:textId="77777777" w:rsidR="000A1191" w:rsidRDefault="000A1191" w:rsidP="000A1191">
                  <w:r>
                    <w:rPr>
                      <w:noProof/>
                    </w:rPr>
                    <w:drawing>
                      <wp:inline distT="0" distB="0" distL="0" distR="0" wp14:anchorId="066D70BB" wp14:editId="2F8A64C4">
                        <wp:extent cx="2980055" cy="193865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980055" cy="1938655"/>
                                </a:xfrm>
                                <a:prstGeom prst="rect">
                                  <a:avLst/>
                                </a:prstGeom>
                                <a:noFill/>
                                <a:ln w="9525">
                                  <a:noFill/>
                                  <a:miter lim="800000"/>
                                  <a:headEnd/>
                                  <a:tailEnd/>
                                </a:ln>
                              </pic:spPr>
                            </pic:pic>
                          </a:graphicData>
                        </a:graphic>
                      </wp:inline>
                    </w:drawing>
                  </w:r>
                </w:p>
                <w:p w14:paraId="609F0DFD" w14:textId="77777777" w:rsidR="000A1191" w:rsidRPr="00585C0F" w:rsidRDefault="000A1191" w:rsidP="000A1191">
                  <w:pPr>
                    <w:pStyle w:val="BodyText"/>
                    <w:pBdr>
                      <w:top w:val="single" w:sz="12" w:space="1" w:color="A5A5A5" w:themeColor="accent3"/>
                      <w:bottom w:val="single" w:sz="12" w:space="1" w:color="A5A5A5" w:themeColor="accent3"/>
                    </w:pBdr>
                    <w:jc w:val="left"/>
                    <w:rPr>
                      <w:i/>
                      <w:iCs/>
                      <w:sz w:val="22"/>
                      <w:szCs w:val="22"/>
                    </w:rPr>
                  </w:pPr>
                  <w:r w:rsidRPr="00AA2199">
                    <w:rPr>
                      <w:b/>
                      <w:bCs/>
                      <w:i/>
                      <w:iCs/>
                      <w:sz w:val="22"/>
                      <w:szCs w:val="22"/>
                    </w:rPr>
                    <w:t>Figure 1</w:t>
                  </w:r>
                  <w:r>
                    <w:rPr>
                      <w:i/>
                      <w:iCs/>
                      <w:sz w:val="22"/>
                      <w:szCs w:val="22"/>
                    </w:rPr>
                    <w:t xml:space="preserve">. </w:t>
                  </w:r>
                  <w:r w:rsidRPr="00585C0F">
                    <w:rPr>
                      <w:i/>
                      <w:iCs/>
                      <w:sz w:val="22"/>
                      <w:szCs w:val="22"/>
                    </w:rPr>
                    <w:t>The Plant Biotechnology Building at the University of Tennessee.</w:t>
                  </w:r>
                </w:p>
              </w:txbxContent>
            </v:textbox>
            <w10:wrap type="tight"/>
          </v:shape>
        </w:pict>
      </w:r>
      <w:r w:rsidR="000A1191">
        <w:rPr>
          <w:b/>
          <w:i/>
          <w:iCs/>
        </w:rPr>
        <w:t xml:space="preserve">The </w:t>
      </w:r>
      <w:r w:rsidR="000A1191" w:rsidRPr="00AA2199">
        <w:rPr>
          <w:b/>
          <w:i/>
          <w:iCs/>
        </w:rPr>
        <w:t>Center for Renewable Carbon (CRC)</w:t>
      </w:r>
      <w:r w:rsidR="000A1191" w:rsidRPr="00904C10">
        <w:t xml:space="preserve"> </w:t>
      </w:r>
      <w:r w:rsidR="000A1191" w:rsidRPr="005A7FD7">
        <w:t>has offices, classrooms, and laboratories with ample space for the project. The labs are equipped with a full complement, depending on the laboratory type, of standard chemistry, biochemistry, biomass and materials science equipment, instrumentation, and services.</w:t>
      </w:r>
      <w:r w:rsidR="000A1191">
        <w:t xml:space="preserve"> </w:t>
      </w:r>
      <w:r w:rsidR="000A1191" w:rsidRPr="005A7FD7">
        <w:t xml:space="preserve">The </w:t>
      </w:r>
      <w:r w:rsidR="000A1191">
        <w:t>CRC</w:t>
      </w:r>
      <w:r w:rsidR="000A1191" w:rsidRPr="005A7FD7">
        <w:t xml:space="preserve"> is in two campus locations and houses three units: The Biomass Chemistry Laboratories (BCL), the </w:t>
      </w:r>
      <w:proofErr w:type="spellStart"/>
      <w:r w:rsidR="000A1191" w:rsidRPr="005A7FD7">
        <w:t>BioEnergy</w:t>
      </w:r>
      <w:proofErr w:type="spellEnd"/>
      <w:r w:rsidR="000A1191" w:rsidRPr="005A7FD7">
        <w:t xml:space="preserve"> Science &amp; Technology (</w:t>
      </w:r>
      <w:proofErr w:type="spellStart"/>
      <w:r w:rsidR="000A1191" w:rsidRPr="005A7FD7">
        <w:t>BeST</w:t>
      </w:r>
      <w:proofErr w:type="spellEnd"/>
      <w:r w:rsidR="000A1191" w:rsidRPr="005A7FD7">
        <w:t>) Unit, and the Materials Science &amp; Technology (</w:t>
      </w:r>
      <w:proofErr w:type="spellStart"/>
      <w:r w:rsidR="000A1191" w:rsidRPr="005A7FD7">
        <w:t>MaST</w:t>
      </w:r>
      <w:proofErr w:type="spellEnd"/>
      <w:r w:rsidR="000A1191" w:rsidRPr="005A7FD7">
        <w:t>) Unit.</w:t>
      </w:r>
      <w:r w:rsidR="000A1191">
        <w:t xml:space="preserve"> </w:t>
      </w:r>
      <w:r w:rsidR="000A1191" w:rsidRPr="00E5667C">
        <w:t>The BCL</w:t>
      </w:r>
      <w:r w:rsidR="000A1191" w:rsidRPr="005A7FD7">
        <w:rPr>
          <w:b/>
        </w:rPr>
        <w:t xml:space="preserve"> </w:t>
      </w:r>
      <w:r w:rsidR="000A1191" w:rsidRPr="005A7FD7">
        <w:t>(2500 ft</w:t>
      </w:r>
      <w:r w:rsidR="000A1191" w:rsidRPr="005A7FD7">
        <w:rPr>
          <w:vertAlign w:val="superscript"/>
        </w:rPr>
        <w:t>2</w:t>
      </w:r>
      <w:r w:rsidR="000A1191" w:rsidRPr="005A7FD7">
        <w:t>) is housed in the Plant Biotechnology Building</w:t>
      </w:r>
      <w:r w:rsidR="000A1191">
        <w:t xml:space="preserve"> (PBB, </w:t>
      </w:r>
      <w:r w:rsidR="000A1191" w:rsidRPr="00AA2199">
        <w:rPr>
          <w:b/>
          <w:bCs/>
        </w:rPr>
        <w:t>Fig. 1</w:t>
      </w:r>
      <w:r w:rsidR="000A1191">
        <w:t>)</w:t>
      </w:r>
      <w:r w:rsidR="000A1191" w:rsidRPr="005A7FD7">
        <w:t xml:space="preserve"> and in the Center for Renewable Carbon</w:t>
      </w:r>
      <w:r w:rsidR="000A1191">
        <w:t xml:space="preserve"> building</w:t>
      </w:r>
      <w:r w:rsidR="000A1191" w:rsidRPr="005A7FD7">
        <w:t xml:space="preserve"> (10000 ft</w:t>
      </w:r>
      <w:r w:rsidR="000A1191" w:rsidRPr="005A7FD7">
        <w:rPr>
          <w:vertAlign w:val="superscript"/>
        </w:rPr>
        <w:t>2</w:t>
      </w:r>
      <w:r w:rsidR="000A1191" w:rsidRPr="005A7FD7">
        <w:t>) and is fully equipped for organic synthesis.</w:t>
      </w:r>
    </w:p>
    <w:p w14:paraId="4B0F2B9C" w14:textId="77777777" w:rsidR="000A1191" w:rsidRDefault="000A1191" w:rsidP="000A1191">
      <w:pPr>
        <w:ind w:firstLine="360"/>
      </w:pPr>
      <w:r>
        <w:t xml:space="preserve">PBB is </w:t>
      </w:r>
      <w:r w:rsidRPr="005A7FD7">
        <w:t>a 133,000 ft</w:t>
      </w:r>
      <w:r w:rsidRPr="005A7FD7">
        <w:rPr>
          <w:vertAlign w:val="superscript"/>
        </w:rPr>
        <w:t>2</w:t>
      </w:r>
      <w:r w:rsidRPr="005A7FD7">
        <w:t xml:space="preserve"> facility</w:t>
      </w:r>
      <w:r>
        <w:t xml:space="preserve"> located on the UTIA campus and </w:t>
      </w:r>
      <w:r w:rsidRPr="009A6626">
        <w:t>de</w:t>
      </w:r>
      <w:r>
        <w:t>signed</w:t>
      </w:r>
      <w:r w:rsidRPr="009A6626">
        <w:t xml:space="preserve"> to support advanced research and foster collaborations.</w:t>
      </w:r>
      <w:r>
        <w:t xml:space="preserve"> The building encompasses </w:t>
      </w:r>
      <w:r w:rsidRPr="009A6626">
        <w:t xml:space="preserve">four distinct </w:t>
      </w:r>
      <w:r>
        <w:t>spaces</w:t>
      </w:r>
      <w:r w:rsidRPr="009A6626">
        <w:t xml:space="preserve"> fitted with internet and projection technology: </w:t>
      </w:r>
      <w:r>
        <w:t>(</w:t>
      </w:r>
      <w:r w:rsidRPr="009A6626">
        <w:t>1) medium</w:t>
      </w:r>
      <w:r>
        <w:t>-</w:t>
      </w:r>
      <w:r w:rsidRPr="009A6626">
        <w:t xml:space="preserve">size lecture hall (125 seats); </w:t>
      </w:r>
      <w:r>
        <w:t>(</w:t>
      </w:r>
      <w:r w:rsidRPr="009A6626">
        <w:t>2) classroom</w:t>
      </w:r>
      <w:r>
        <w:t>s</w:t>
      </w:r>
      <w:r w:rsidRPr="009A6626">
        <w:t xml:space="preserve"> for lectures (50 seats); </w:t>
      </w:r>
      <w:r>
        <w:t>(</w:t>
      </w:r>
      <w:r w:rsidRPr="009A6626">
        <w:t>3) laboratory classroom</w:t>
      </w:r>
      <w:r>
        <w:t>s</w:t>
      </w:r>
      <w:r w:rsidRPr="009A6626">
        <w:t xml:space="preserve">; and </w:t>
      </w:r>
      <w:r>
        <w:t>(</w:t>
      </w:r>
      <w:r w:rsidRPr="009A6626">
        <w:t xml:space="preserve">4) conference rooms (20-30 seats). </w:t>
      </w:r>
      <w:r w:rsidRPr="005A7FD7">
        <w:t xml:space="preserve">The facility </w:t>
      </w:r>
      <w:r>
        <w:t xml:space="preserve">also </w:t>
      </w:r>
      <w:r w:rsidRPr="005A7FD7">
        <w:t>contains individual laboratory spaces (approximately 57 @ 500-1000 ft</w:t>
      </w:r>
      <w:r w:rsidRPr="005A7FD7">
        <w:rPr>
          <w:vertAlign w:val="superscript"/>
        </w:rPr>
        <w:t>2</w:t>
      </w:r>
      <w:r w:rsidRPr="005A7FD7">
        <w:t xml:space="preserve"> each; 81,000 assignable sq. ft.), </w:t>
      </w:r>
      <w:r>
        <w:t>and offices</w:t>
      </w:r>
      <w:r w:rsidRPr="005A7FD7">
        <w:t>.</w:t>
      </w:r>
    </w:p>
    <w:p w14:paraId="2008E773" w14:textId="77777777" w:rsidR="000A1191" w:rsidRDefault="000A1191" w:rsidP="000A1191">
      <w:pPr>
        <w:ind w:firstLine="360"/>
      </w:pPr>
      <w:r w:rsidRPr="005A7FD7">
        <w:t xml:space="preserve">The BCL contains resources directed toward catalyst development, isolation and characterization of intermediates, </w:t>
      </w:r>
      <w:r>
        <w:t xml:space="preserve">and </w:t>
      </w:r>
      <w:r w:rsidRPr="005A7FD7">
        <w:t>structural determination</w:t>
      </w:r>
      <w:r>
        <w:t xml:space="preserve"> including biomass-based chemicals</w:t>
      </w:r>
      <w:r w:rsidRPr="005A7FD7">
        <w:t>.</w:t>
      </w:r>
      <w:r>
        <w:t xml:space="preserve"> </w:t>
      </w:r>
      <w:r w:rsidRPr="00904C10">
        <w:rPr>
          <w:iCs/>
        </w:rPr>
        <w:t>Co-PD Labbé</w:t>
      </w:r>
      <w:r w:rsidRPr="0078338F">
        <w:rPr>
          <w:iCs/>
        </w:rPr>
        <w:t>’s</w:t>
      </w:r>
      <w:r w:rsidRPr="005A7FD7">
        <w:rPr>
          <w:b/>
          <w:i/>
        </w:rPr>
        <w:t xml:space="preserve"> </w:t>
      </w:r>
      <w:r w:rsidRPr="00E5667C">
        <w:t xml:space="preserve">laboratory is housed in </w:t>
      </w:r>
      <w:r>
        <w:t>t</w:t>
      </w:r>
      <w:r w:rsidRPr="00E5667C">
        <w:t xml:space="preserve">he </w:t>
      </w:r>
      <w:proofErr w:type="spellStart"/>
      <w:r w:rsidRPr="00E5667C">
        <w:t>BeST</w:t>
      </w:r>
      <w:proofErr w:type="spellEnd"/>
      <w:r w:rsidRPr="00E5667C">
        <w:t xml:space="preserve"> Lab</w:t>
      </w:r>
      <w:r w:rsidRPr="005A7FD7">
        <w:t xml:space="preserve"> (8100 ft</w:t>
      </w:r>
      <w:r w:rsidRPr="005A7FD7">
        <w:rPr>
          <w:vertAlign w:val="superscript"/>
        </w:rPr>
        <w:t>2</w:t>
      </w:r>
      <w:r>
        <w:t>),</w:t>
      </w:r>
      <w:r w:rsidRPr="005A7FD7">
        <w:t xml:space="preserve"> </w:t>
      </w:r>
      <w:r>
        <w:t xml:space="preserve">which </w:t>
      </w:r>
      <w:r w:rsidRPr="005A7FD7">
        <w:t xml:space="preserve">offers a state-of-the-art laboratory environment for bioenergy and bioproducts research and development. The laboratory includes capabilities for biomass preprocessing, pretreatment, </w:t>
      </w:r>
      <w:r>
        <w:t xml:space="preserve">fractionation, </w:t>
      </w:r>
      <w:r w:rsidRPr="005A7FD7">
        <w:t xml:space="preserve">thermochemical and biochemical conversion, and products analysis. Unique analytical capabilities for biomass characterization are available </w:t>
      </w:r>
      <w:r>
        <w:t>via</w:t>
      </w:r>
      <w:r w:rsidRPr="005A7FD7">
        <w:t xml:space="preserve"> an established partnership with PerkinElmer Inc.</w:t>
      </w:r>
    </w:p>
    <w:p w14:paraId="3554A268" w14:textId="77777777" w:rsidR="007C41A8" w:rsidRPr="00467D9E" w:rsidRDefault="007C41A8" w:rsidP="007C41A8">
      <w:pPr>
        <w:rPr>
          <w:iCs/>
        </w:rPr>
      </w:pPr>
      <w:r>
        <w:rPr>
          <w:b/>
          <w:bCs/>
          <w:i/>
        </w:rPr>
        <w:t xml:space="preserve">The </w:t>
      </w:r>
      <w:r w:rsidRPr="00AA2199">
        <w:rPr>
          <w:b/>
          <w:bCs/>
          <w:i/>
        </w:rPr>
        <w:t>Biosystems Engineering and Soil Science (BESS)</w:t>
      </w:r>
      <w:r>
        <w:rPr>
          <w:b/>
          <w:bCs/>
          <w:i/>
        </w:rPr>
        <w:t xml:space="preserve"> Department</w:t>
      </w:r>
      <w:r>
        <w:rPr>
          <w:b/>
          <w:bCs/>
          <w:iCs/>
        </w:rPr>
        <w:t xml:space="preserve"> </w:t>
      </w:r>
      <w:r w:rsidRPr="00467D9E">
        <w:rPr>
          <w:iCs/>
        </w:rPr>
        <w:t xml:space="preserve">provides offices, classrooms, and laboratories </w:t>
      </w:r>
      <w:r>
        <w:rPr>
          <w:iCs/>
        </w:rPr>
        <w:t xml:space="preserve">that will be leveraged for this project. With focus areas in bioprocessing, land and water science, engineering, soil science, and environmental science, the department houses various resources facilitating the execution of research, extension, and education programs. </w:t>
      </w:r>
      <w:r>
        <w:rPr>
          <w:bCs/>
        </w:rPr>
        <w:t>BESS</w:t>
      </w:r>
      <w:r w:rsidRPr="005A7FD7">
        <w:rPr>
          <w:bCs/>
        </w:rPr>
        <w:t xml:space="preserve"> is house</w:t>
      </w:r>
      <w:r>
        <w:rPr>
          <w:bCs/>
        </w:rPr>
        <w:t>d</w:t>
      </w:r>
      <w:r w:rsidRPr="005A7FD7">
        <w:rPr>
          <w:bCs/>
        </w:rPr>
        <w:t xml:space="preserve"> </w:t>
      </w:r>
      <w:r>
        <w:rPr>
          <w:bCs/>
        </w:rPr>
        <w:t xml:space="preserve">in </w:t>
      </w:r>
      <w:r w:rsidRPr="005A7FD7">
        <w:rPr>
          <w:bCs/>
        </w:rPr>
        <w:t xml:space="preserve">three </w:t>
      </w:r>
      <w:r>
        <w:rPr>
          <w:bCs/>
        </w:rPr>
        <w:t xml:space="preserve">buildings: the BESS office building, a three-story building providing office and meeting spaces for faculty, staff, post-docs, and graduate students; the BESS lab and classroom building, housing research and extension labs, six classrooms, fabrication, electronic, and instrumentation shops, and the </w:t>
      </w:r>
      <w:r w:rsidRPr="00B91574">
        <w:t xml:space="preserve">analytical laboratory for </w:t>
      </w:r>
      <w:r w:rsidRPr="00B91574">
        <w:lastRenderedPageBreak/>
        <w:t>environmental and biological analysis</w:t>
      </w:r>
      <w:r>
        <w:t>;</w:t>
      </w:r>
      <w:r>
        <w:rPr>
          <w:bCs/>
        </w:rPr>
        <w:t xml:space="preserve"> and the Third Creek Building, which houses several research labs.</w:t>
      </w:r>
    </w:p>
    <w:p w14:paraId="01CBD206" w14:textId="61E2D553" w:rsidR="004D4F0B" w:rsidRDefault="004D4F0B" w:rsidP="004D4F0B">
      <w:pPr>
        <w:ind w:firstLine="360"/>
        <w:rPr>
          <w:bCs/>
        </w:rPr>
      </w:pPr>
      <w:r>
        <w:t xml:space="preserve">PD </w:t>
      </w:r>
      <w:proofErr w:type="spellStart"/>
      <w:r>
        <w:t>Abdoulmoumine’s</w:t>
      </w:r>
      <w:proofErr w:type="spellEnd"/>
      <w:r>
        <w:t xml:space="preserve"> lab</w:t>
      </w:r>
      <w:r w:rsidRPr="00B91574">
        <w:t xml:space="preserve">, the </w:t>
      </w:r>
      <w:r w:rsidRPr="00B91574">
        <w:rPr>
          <w:b/>
          <w:bCs/>
        </w:rPr>
        <w:t>B</w:t>
      </w:r>
      <w:r w:rsidRPr="00B91574">
        <w:t xml:space="preserve">iomass </w:t>
      </w:r>
      <w:proofErr w:type="spellStart"/>
      <w:r w:rsidRPr="00B91574">
        <w:t>conv</w:t>
      </w:r>
      <w:r w:rsidRPr="00B91574">
        <w:rPr>
          <w:b/>
        </w:rPr>
        <w:t>E</w:t>
      </w:r>
      <w:r w:rsidRPr="00B91574">
        <w:t>rsion</w:t>
      </w:r>
      <w:proofErr w:type="spellEnd"/>
      <w:r w:rsidRPr="00B91574">
        <w:t xml:space="preserve"> </w:t>
      </w:r>
      <w:r w:rsidRPr="00B91574">
        <w:rPr>
          <w:b/>
          <w:bCs/>
        </w:rPr>
        <w:t>A</w:t>
      </w:r>
      <w:r w:rsidRPr="00B91574">
        <w:t xml:space="preserve">nd </w:t>
      </w:r>
      <w:r w:rsidRPr="00B91574">
        <w:rPr>
          <w:b/>
          <w:bCs/>
        </w:rPr>
        <w:t>M</w:t>
      </w:r>
      <w:r w:rsidRPr="00B91574">
        <w:t xml:space="preserve">odeling </w:t>
      </w:r>
      <w:r w:rsidRPr="00B91574">
        <w:rPr>
          <w:b/>
        </w:rPr>
        <w:t xml:space="preserve">(BEAM) </w:t>
      </w:r>
      <w:r w:rsidRPr="00B91574">
        <w:t>laboratory (~2,000 ft</w:t>
      </w:r>
      <w:r w:rsidRPr="00B91574">
        <w:rPr>
          <w:vertAlign w:val="superscript"/>
        </w:rPr>
        <w:t>2</w:t>
      </w:r>
      <w:r w:rsidRPr="00B91574">
        <w:t xml:space="preserve">) </w:t>
      </w:r>
      <w:r>
        <w:t xml:space="preserve">is housed in the Biosystems Engineering and Soil Science (BESS lab) building and the Center for Renewable Carbon and has </w:t>
      </w:r>
      <w:r w:rsidRPr="005A7FD7">
        <w:rPr>
          <w:bCs/>
        </w:rPr>
        <w:t>capabilities for biomass preprocessing, pretreatment,</w:t>
      </w:r>
      <w:r>
        <w:rPr>
          <w:bCs/>
        </w:rPr>
        <w:t xml:space="preserve"> conversion, and analysis. </w:t>
      </w:r>
    </w:p>
    <w:p w14:paraId="166C368E" w14:textId="77777777" w:rsidR="008720A7" w:rsidRDefault="008720A7" w:rsidP="004D4F0B">
      <w:pPr>
        <w:ind w:firstLine="360"/>
        <w:rPr>
          <w:bCs/>
        </w:rPr>
      </w:pPr>
    </w:p>
    <w:p w14:paraId="4B60E244" w14:textId="77777777" w:rsidR="008720A7" w:rsidRPr="009847BB" w:rsidRDefault="008720A7" w:rsidP="004D4F0B">
      <w:pPr>
        <w:ind w:firstLine="360"/>
        <w:rPr>
          <w:szCs w:val="22"/>
        </w:rPr>
      </w:pPr>
    </w:p>
    <w:p w14:paraId="061C2BE0" w14:textId="77777777" w:rsidR="004D4F0B" w:rsidRPr="005A7FD7" w:rsidRDefault="004D4F0B" w:rsidP="000A1191">
      <w:pPr>
        <w:ind w:firstLine="360"/>
      </w:pPr>
    </w:p>
    <w:p w14:paraId="6BFEE8DF" w14:textId="77777777" w:rsidR="009C6F04" w:rsidRDefault="009C6F04"/>
    <w:sectPr w:rsidR="009C6F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8707C"/>
    <w:rsid w:val="000A1191"/>
    <w:rsid w:val="0038707C"/>
    <w:rsid w:val="004D4F0B"/>
    <w:rsid w:val="007C41A8"/>
    <w:rsid w:val="008720A7"/>
    <w:rsid w:val="009C6F04"/>
    <w:rsid w:val="00AA6B4C"/>
    <w:rsid w:val="00AB24B1"/>
    <w:rsid w:val="00BB5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D71B08"/>
  <w15:chartTrackingRefBased/>
  <w15:docId w15:val="{9AF5CB1F-6EDD-4023-A87A-FFA4C8930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191"/>
    <w:pPr>
      <w:spacing w:after="0" w:line="240" w:lineRule="auto"/>
      <w:jc w:val="both"/>
    </w:pPr>
    <w:rPr>
      <w:rFonts w:ascii="Times New Roman" w:eastAsia="Times New Roman" w:hAnsi="Times New Roman" w:cs="Times New Roman"/>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0A1191"/>
    <w:pPr>
      <w:ind w:firstLine="720"/>
    </w:pPr>
    <w:rPr>
      <w:szCs w:val="20"/>
    </w:rPr>
  </w:style>
  <w:style w:type="character" w:customStyle="1" w:styleId="BodyTextIndentChar">
    <w:name w:val="Body Text Indent Char"/>
    <w:basedOn w:val="DefaultParagraphFont"/>
    <w:link w:val="BodyTextIndent"/>
    <w:rsid w:val="000A1191"/>
    <w:rPr>
      <w:rFonts w:ascii="Times New Roman" w:eastAsia="Times New Roman" w:hAnsi="Times New Roman" w:cs="Times New Roman"/>
      <w:kern w:val="0"/>
      <w:sz w:val="24"/>
      <w:szCs w:val="20"/>
    </w:rPr>
  </w:style>
  <w:style w:type="paragraph" w:styleId="BodyText">
    <w:name w:val="Body Text"/>
    <w:basedOn w:val="Normal"/>
    <w:link w:val="BodyTextChar"/>
    <w:uiPriority w:val="99"/>
    <w:rsid w:val="000A1191"/>
    <w:pPr>
      <w:spacing w:after="120"/>
    </w:pPr>
  </w:style>
  <w:style w:type="character" w:customStyle="1" w:styleId="BodyTextChar">
    <w:name w:val="Body Text Char"/>
    <w:basedOn w:val="DefaultParagraphFont"/>
    <w:link w:val="BodyText"/>
    <w:uiPriority w:val="99"/>
    <w:rsid w:val="000A1191"/>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0A1191"/>
    <w:rPr>
      <w:color w:val="0000FF"/>
      <w:u w:val="single"/>
    </w:rPr>
  </w:style>
  <w:style w:type="character" w:styleId="CommentReference">
    <w:name w:val="annotation reference"/>
    <w:basedOn w:val="DefaultParagraphFont"/>
    <w:uiPriority w:val="99"/>
    <w:semiHidden/>
    <w:unhideWhenUsed/>
    <w:rsid w:val="000A1191"/>
    <w:rPr>
      <w:sz w:val="16"/>
      <w:szCs w:val="16"/>
    </w:rPr>
  </w:style>
  <w:style w:type="paragraph" w:styleId="CommentText">
    <w:name w:val="annotation text"/>
    <w:basedOn w:val="Normal"/>
    <w:link w:val="CommentTextChar"/>
    <w:uiPriority w:val="99"/>
    <w:unhideWhenUsed/>
    <w:rsid w:val="000A1191"/>
    <w:rPr>
      <w:sz w:val="20"/>
      <w:szCs w:val="20"/>
    </w:rPr>
  </w:style>
  <w:style w:type="character" w:customStyle="1" w:styleId="CommentTextChar">
    <w:name w:val="Comment Text Char"/>
    <w:basedOn w:val="DefaultParagraphFont"/>
    <w:link w:val="CommentText"/>
    <w:uiPriority w:val="99"/>
    <w:rsid w:val="000A1191"/>
    <w:rPr>
      <w:rFonts w:ascii="Times New Roman" w:eastAsia="Times New Roman"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501</Words>
  <Characters>2856</Characters>
  <Application>Microsoft Office Word</Application>
  <DocSecurity>0</DocSecurity>
  <Lines>23</Lines>
  <Paragraphs>6</Paragraphs>
  <ScaleCrop>false</ScaleCrop>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Jenny</dc:creator>
  <cp:keywords/>
  <dc:description/>
  <cp:lastModifiedBy>Moore, Jenny</cp:lastModifiedBy>
  <cp:revision>7</cp:revision>
  <dcterms:created xsi:type="dcterms:W3CDTF">2023-05-25T11:50:00Z</dcterms:created>
  <dcterms:modified xsi:type="dcterms:W3CDTF">2023-06-07T20:07:00Z</dcterms:modified>
</cp:coreProperties>
</file>